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1979999" cy="721479"/>
            <wp:effectExtent b="0" l="0" r="0" t="0"/>
            <wp:docPr id="2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79999" cy="7214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rPr/>
      </w:pPr>
      <w:r w:rsidDel="00000000" w:rsidR="00000000" w:rsidRPr="00000000">
        <w:rPr>
          <w:rtl w:val="0"/>
        </w:rPr>
        <w:t xml:space="preserve">Implementeringsplan: Fra uro til 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Dette er et forslag til elementer som bør være med i en implementeringsplan for første del av kompetansehevingen Fra uro til ro. Hver arbeidsplass står fritt til å </w:t>
      </w:r>
      <w:r w:rsidDel="00000000" w:rsidR="00000000" w:rsidRPr="00000000">
        <w:rPr>
          <w:i w:val="1"/>
          <w:iCs w:val="1"/>
          <w:rtl w:val="0"/>
        </w:rPr>
        <w:t xml:space="preserve">justere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planen til egne behov. Planen </w:t>
      </w:r>
      <w:r w:rsidDel="00000000" w:rsidR="00000000" w:rsidRPr="00000000">
        <w:rPr>
          <w:i w:val="1"/>
          <w:iCs w:val="1"/>
          <w:rtl w:val="0"/>
        </w:rPr>
        <w:t xml:space="preserve">vil fungere best om det er et løpende dokument som revideres minst hvert år.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Slik henger verktøyene sammen: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VERT-kartleggingen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viser hvor </w:t>
      </w:r>
      <w:r w:rsidDel="00000000" w:rsidR="00000000" w:rsidRPr="00000000">
        <w:rPr>
          <w:rtl w:val="0"/>
        </w:rPr>
        <w:t xml:space="preserve">klar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enheten er og hva som bør styrkes – den </w:t>
      </w:r>
      <w:r w:rsidDel="00000000" w:rsidR="00000000" w:rsidRPr="00000000">
        <w:rPr>
          <w:rtl w:val="0"/>
        </w:rPr>
        <w:t xml:space="preserve">viser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utgangspunktet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Denne planen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gjør </w:t>
      </w:r>
      <w:r w:rsidDel="00000000" w:rsidR="00000000" w:rsidRPr="00000000">
        <w:rPr>
          <w:rtl w:val="0"/>
        </w:rPr>
        <w:t xml:space="preserve">utgangspunktet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om til handling: hvem gjør hva, når.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fem øktene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(filmer med refleksjonsspørsmål og plakatmateriell) som skal brukes i år 2 leverer selve innholdet. </w:t>
      </w:r>
      <w:r w:rsidDel="00000000" w:rsidR="00000000" w:rsidRPr="00000000">
        <w:rPr>
          <w:rtl w:val="0"/>
        </w:rPr>
        <w:t xml:space="preserve">År 3 vil det være annet materiale som kan brukes, evnt kan man bruke materialet for år 2 på nytt, men tilpasse fokus for øktene i forhold til hvor prosessen er på det tidspunktet</w:t>
      </w:r>
    </w:p>
    <w:p w:rsidR="00000000" w:rsidDel="00000000" w:rsidP="00000000" w:rsidRDefault="00000000" w:rsidRPr="00000000" w14:paraId="00000008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1. Mål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i w:val="1"/>
          <w:iCs w:val="1"/>
        </w:rPr>
      </w:pPr>
      <w:r w:rsidDel="00000000" w:rsidR="00000000" w:rsidRPr="00000000">
        <w:rPr>
          <w:rtl w:val="0"/>
        </w:rPr>
        <w:t xml:space="preserve">L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okale mål</w:t>
      </w:r>
      <w:r w:rsidDel="00000000" w:rsidR="00000000" w:rsidRPr="00000000">
        <w:rPr>
          <w:rtl w:val="0"/>
        </w:rPr>
        <w:t xml:space="preserve"> for: </w:t>
      </w:r>
      <w:r w:rsidDel="00000000" w:rsidR="00000000" w:rsidRPr="00000000">
        <w:rPr>
          <w:rtl w:val="0"/>
        </w:rPr>
        <w:t xml:space="preserve">“</w:t>
      </w:r>
      <w:r w:rsidDel="00000000" w:rsidR="00000000" w:rsidRPr="00000000">
        <w:rPr>
          <w:i w:val="1"/>
          <w:iCs w:val="1"/>
          <w:rtl w:val="0"/>
        </w:rPr>
        <w:t xml:space="preserve">enhetens navn”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År: </w:t>
      </w:r>
    </w:p>
    <w:tbl>
      <w:tblPr>
        <w:tblStyle w:val="Table1"/>
        <w:tblW w:w="7920.0" w:type="dxa"/>
        <w:jc w:val="left"/>
        <w:tblInd w:w="-108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3960"/>
        <w:gridCol w:w="3960"/>
        <w:tblGridChange w:id="0">
          <w:tblGrid>
            <w:gridCol w:w="3960"/>
            <w:gridCol w:w="39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Behov: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Hvilke av de ansattes behov kan </w:t>
            </w:r>
            <w:r w:rsidDel="00000000" w:rsidR="00000000" w:rsidRPr="00000000">
              <w:rPr>
                <w:rtl w:val="0"/>
              </w:rPr>
              <w:t xml:space="preserve">denne kunnskapen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hjelpe oss med å dekke?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Endringsmål: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Hva </w:t>
            </w:r>
            <w:r w:rsidDel="00000000" w:rsidR="00000000" w:rsidRPr="00000000">
              <w:rPr>
                <w:rtl w:val="0"/>
              </w:rPr>
              <w:t xml:space="preserve">ønsker vi skal bli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annerledes i </w:t>
            </w:r>
            <w:r w:rsidDel="00000000" w:rsidR="00000000" w:rsidRPr="00000000">
              <w:rPr>
                <w:rtl w:val="0"/>
              </w:rPr>
              <w:t xml:space="preserve">vår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praksis?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Effektmål: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Hvilken effekt skal det ha for barna? Og for </w:t>
            </w:r>
            <w:r w:rsidDel="00000000" w:rsidR="00000000" w:rsidRPr="00000000">
              <w:rPr>
                <w:rtl w:val="0"/>
              </w:rPr>
              <w:t xml:space="preserve">de voksne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?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pStyle w:val="Heading2"/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spacing w:after="200" w:lineRule="auto"/>
        <w:rPr/>
      </w:pPr>
      <w:r w:rsidDel="00000000" w:rsidR="00000000" w:rsidRPr="00000000">
        <w:rPr>
          <w:rtl w:val="0"/>
        </w:rPr>
        <w:t xml:space="preserve">2. Grunnleggende rammer</w:t>
      </w:r>
      <w:r w:rsidDel="00000000" w:rsidR="00000000" w:rsidRPr="00000000">
        <w:rPr>
          <w:rtl w:val="0"/>
        </w:rPr>
      </w:r>
    </w:p>
    <w:tbl>
      <w:tblPr>
        <w:tblStyle w:val="Table2"/>
        <w:tblW w:w="7920.0" w:type="dxa"/>
        <w:jc w:val="left"/>
        <w:tblInd w:w="-108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3960"/>
        <w:gridCol w:w="3960"/>
        <w:tblGridChange w:id="0">
          <w:tblGrid>
            <w:gridCol w:w="3960"/>
            <w:gridCol w:w="39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Ansvarlig(e) for gjennomføring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(ledergruppa)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Koordinator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– navn, mandat og avsatt tid (per uke/måned) til å drive arbeidet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Ressurspersoner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– hvem skal støtte kollegene, og når får de tid til å lære stoffet grundig 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før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de skal veilede andre?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Øremerket tid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– hvordan sikrer vi at denne tiden ikke skyves til side av andre oppgaver?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Tidsperiode for de fem første øktene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Inndeling/gruppering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–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Hvordan skal ko</w:t>
            </w:r>
            <w:r w:rsidDel="00000000" w:rsidR="00000000" w:rsidRPr="00000000">
              <w:rPr>
                <w:rtl w:val="0"/>
              </w:rPr>
              <w:t xml:space="preserve">mpetansehevingen/refleksjonen gjennomføres? 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NB - Hvordan sikre at alle: SFO, vikarer etc også får kunnskapen</w:t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Hvilke grupper skal gjennomføre sammen: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3. Gjennomføring av øktene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Planlegg øktene som jevnlige, mindre bolker over tid – ikke som enkeltstående samlinger med lange opphold imellom. Ofte vil man bru</w:t>
      </w:r>
      <w:r w:rsidDel="00000000" w:rsidR="00000000" w:rsidRPr="00000000">
        <w:rPr>
          <w:i w:val="1"/>
          <w:iCs w:val="1"/>
          <w:rtl w:val="0"/>
        </w:rPr>
        <w:t xml:space="preserve">ke materiale i en økt over flere ganger, da kan man legge inn flere rader i tabellen.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Eks år 2: Økt 1- stressrespons og nevrosepsjon (over hvor mange ganger?), Mellomarbeid (ett eller flere?), Økt 2 - beskyttelsesmodus osv</w:t>
      </w:r>
    </w:p>
    <w:tbl>
      <w:tblPr>
        <w:tblStyle w:val="Table3"/>
        <w:tblW w:w="9450.0" w:type="dxa"/>
        <w:jc w:val="left"/>
        <w:tblInd w:w="-108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20"/>
      </w:tblPr>
      <w:tblGrid>
        <w:gridCol w:w="1575"/>
        <w:gridCol w:w="1575"/>
        <w:gridCol w:w="2085"/>
        <w:gridCol w:w="810"/>
        <w:gridCol w:w="1260"/>
        <w:gridCol w:w="2145"/>
        <w:tblGridChange w:id="0">
          <w:tblGrid>
            <w:gridCol w:w="1575"/>
            <w:gridCol w:w="1575"/>
            <w:gridCol w:w="2085"/>
            <w:gridCol w:w="810"/>
            <w:gridCol w:w="1260"/>
            <w:gridCol w:w="2145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Økt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Delmål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after="36" w:before="36" w:lineRule="auto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Gruppe/deltakere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Dato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Ansvarlig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Evaluering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2"/>
        <w:rPr/>
      </w:pPr>
      <w:r w:rsidDel="00000000" w:rsidR="00000000" w:rsidRPr="00000000">
        <w:rPr>
          <w:rtl w:val="0"/>
        </w:rPr>
        <w:t xml:space="preserve">4. Praksis mellom øktene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Kunnskapen skal brukes i hverdagen. Hvordan gjøres det hos dere?</w:t>
      </w:r>
      <w:r w:rsidDel="00000000" w:rsidR="00000000" w:rsidRPr="00000000">
        <w:rPr>
          <w:rtl w:val="0"/>
        </w:rPr>
      </w:r>
    </w:p>
    <w:tbl>
      <w:tblPr>
        <w:tblStyle w:val="Table4"/>
        <w:tblW w:w="7920.0" w:type="dxa"/>
        <w:jc w:val="left"/>
        <w:tblInd w:w="-108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3960"/>
        <w:gridCol w:w="3960"/>
        <w:tblGridChange w:id="0">
          <w:tblGrid>
            <w:gridCol w:w="3960"/>
            <w:gridCol w:w="39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Hvordan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skal dere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utforske ny praksis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?</w:t>
            </w:r>
          </w:p>
          <w:p w:rsidR="00000000" w:rsidDel="00000000" w:rsidP="00000000" w:rsidRDefault="00000000" w:rsidRPr="00000000" w14:paraId="00000054">
            <w:pPr>
              <w:spacing w:after="36" w:before="36" w:lineRule="auto"/>
              <w:rPr>
                <w:b w:val="1"/>
                <w:b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Konkrete tiltak/aktiviteter som gjør at kunnskapen tas i bruk og holdes ved like.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Hva krever dette – og av hvem?</w:t>
            </w:r>
          </w:p>
          <w:p w:rsidR="00000000" w:rsidDel="00000000" w:rsidP="00000000" w:rsidRDefault="00000000" w:rsidRPr="00000000" w14:paraId="00000057">
            <w:pPr>
              <w:spacing w:after="36" w:before="36" w:lineRule="auto"/>
              <w:rPr>
                <w:b w:val="1"/>
                <w:b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Hvilke grep må tas for at det lar seg gjennomføre?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Hvordan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sikrer vi at ansatte har noen å reflektere sammen med?</w:t>
            </w:r>
          </w:p>
          <w:p w:rsidR="00000000" w:rsidDel="00000000" w:rsidP="00000000" w:rsidRDefault="00000000" w:rsidRPr="00000000" w14:paraId="0000005A">
            <w:pPr>
              <w:spacing w:after="36" w:before="36" w:lineRule="auto"/>
              <w:rPr>
                <w:b w:val="1"/>
                <w:b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Hvilke formelle og uformelle arenaer finnes? Hvordan gjør vi det trygt å prøve, feile og være uenige når vi diskuterer? Hvilken ekstern støtte kan brukes?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2"/>
        <w:rPr/>
      </w:pPr>
      <w:r w:rsidDel="00000000" w:rsidR="00000000" w:rsidRPr="00000000">
        <w:rPr>
          <w:rtl w:val="0"/>
        </w:rPr>
        <w:t xml:space="preserve">5. </w:t>
      </w:r>
      <w:r w:rsidDel="00000000" w:rsidR="00000000" w:rsidRPr="00000000">
        <w:rPr>
          <w:rtl w:val="0"/>
        </w:rPr>
        <w:t xml:space="preserve">Evaluering og tilbakemeldinger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Tre former for evaluering/tilbakemelding kan være nyttig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1. </w:t>
      </w:r>
      <w:r w:rsidDel="00000000" w:rsidR="00000000" w:rsidRPr="00000000">
        <w:rPr>
          <w:rtl w:val="0"/>
        </w:rPr>
        <w:t xml:space="preserve">For en vellykket implementering er </w:t>
      </w:r>
      <w:r w:rsidDel="00000000" w:rsidR="00000000" w:rsidRPr="00000000">
        <w:rPr>
          <w:b w:val="1"/>
          <w:bCs w:val="1"/>
          <w:rtl w:val="0"/>
        </w:rPr>
        <w:t xml:space="preserve">evaluering og tilbakemelding underveis </w:t>
      </w:r>
      <w:r w:rsidDel="00000000" w:rsidR="00000000" w:rsidRPr="00000000">
        <w:rPr>
          <w:rtl w:val="0"/>
        </w:rPr>
        <w:t xml:space="preserve">avgjørende, slik at man kan justere tiltak for bedre effekt når det er behov for det.</w:t>
      </w:r>
      <w:r w:rsidDel="00000000" w:rsidR="00000000" w:rsidRPr="00000000">
        <w:rPr>
          <w:rtl w:val="0"/>
        </w:rPr>
      </w:r>
    </w:p>
    <w:tbl>
      <w:tblPr>
        <w:tblStyle w:val="Table5"/>
        <w:tblW w:w="7920.0" w:type="dxa"/>
        <w:jc w:val="left"/>
        <w:tblInd w:w="-108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3960"/>
        <w:gridCol w:w="3960"/>
        <w:tblGridChange w:id="0">
          <w:tblGrid>
            <w:gridCol w:w="3960"/>
            <w:gridCol w:w="39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spacing w:after="36" w:before="36" w:lineRule="auto"/>
              <w:rPr/>
            </w:pPr>
            <w:r w:rsidDel="00000000" w:rsidR="00000000" w:rsidRPr="00000000">
              <w:rPr>
                <w:rtl w:val="0"/>
              </w:rPr>
              <w:t xml:space="preserve">Hva er utgangspunktet, og hvordan fanger vi opp om det har vært endring?</w:t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after="180" w:before="18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Det kan være nyttig å ha noen referansepunkter fra oppstarten som hjelper til bevissthet om hvilke endringer som har skjedd. </w:t>
            </w:r>
          </w:p>
          <w:p w:rsidR="00000000" w:rsidDel="00000000" w:rsidP="00000000" w:rsidRDefault="00000000" w:rsidRPr="00000000" w14:paraId="00000063">
            <w:pPr>
              <w:spacing w:after="36" w:before="3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spacing w:after="36" w:before="36" w:lineRule="auto"/>
              <w:rPr/>
            </w:pPr>
            <w:sdt>
              <w:sdtPr>
                <w:id w:val="-699027443"/>
                <w:tag w:val="goog_rdk_0"/>
              </w:sdtPr>
              <w:sdtContent/>
            </w:sdt>
            <w:r w:rsidDel="00000000" w:rsidR="00000000" w:rsidRPr="00000000">
              <w:rPr>
                <w:rtl w:val="0"/>
              </w:rPr>
              <w:t xml:space="preserve">Hvordan</w:t>
            </w:r>
            <w:r w:rsidDel="00000000" w:rsidR="00000000" w:rsidRPr="00000000">
              <w:rPr>
                <w:rtl w:val="0"/>
              </w:rPr>
              <w:t xml:space="preserve"> samler vi tilbakemeldinger underveis og hvor ofte?</w:t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after="36" w:before="3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pStyle w:val="Heading2"/>
        <w:rPr/>
      </w:pPr>
      <w:bookmarkStart w:colFirst="0" w:colLast="0" w:name="_heading=h.ap8g43mx1w76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2. </w:t>
      </w:r>
      <w:r w:rsidDel="00000000" w:rsidR="00000000" w:rsidRPr="00000000">
        <w:rPr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tillegg kan det være nyttig å se om dere har</w:t>
      </w:r>
      <w:r w:rsidDel="00000000" w:rsidR="00000000" w:rsidRPr="00000000">
        <w:rPr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data som kan si noe om effekten </w:t>
      </w:r>
      <w:r w:rsidDel="00000000" w:rsidR="00000000" w:rsidRPr="00000000">
        <w:rPr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 kompetansehevingen (slik som sykefravær, kap 12-saker, aktivitetetsplaner, henvisning til PPT </w:t>
      </w:r>
      <w:r w:rsidDel="00000000" w:rsidR="00000000" w:rsidRPr="00000000">
        <w:rPr>
          <w:rtl w:val="0"/>
        </w:rPr>
        <w:t xml:space="preserve">etc</w:t>
      </w:r>
      <w:r w:rsidDel="00000000" w:rsidR="00000000" w:rsidRPr="00000000">
        <w:rPr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6"/>
        <w:tblW w:w="7920.0" w:type="dxa"/>
        <w:jc w:val="left"/>
        <w:tblInd w:w="-108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3960"/>
        <w:gridCol w:w="3960"/>
        <w:tblGridChange w:id="0">
          <w:tblGrid>
            <w:gridCol w:w="3960"/>
            <w:gridCol w:w="39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Hvordan måler vi om vi har nådd målene </w:t>
            </w:r>
            <w:r w:rsidDel="00000000" w:rsidR="00000000" w:rsidRPr="00000000">
              <w:rPr>
                <w:rtl w:val="0"/>
              </w:rPr>
              <w:t xml:space="preserve">for kompetansehevingen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?</w:t>
            </w:r>
          </w:p>
        </w:tc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Hvilke potensielle datapunkter har vi for å måle effekt?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spacing w:after="180" w:before="180" w:lineRule="auto"/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180" w:before="180" w:lineRule="auto"/>
        <w:ind w:left="0" w:firstLine="0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3.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VERT-kartleggingen</w:t>
      </w:r>
      <w:r w:rsidDel="00000000" w:rsidR="00000000" w:rsidRPr="00000000">
        <w:rPr>
          <w:i w:val="1"/>
          <w:iCs w:val="1"/>
          <w:rtl w:val="0"/>
        </w:rPr>
        <w:t xml:space="preserve"> (som gjentas etter 6–12 måneder) måler om forutsetningene for arbeidet er styrket. </w:t>
      </w:r>
    </w:p>
    <w:p w:rsidR="00000000" w:rsidDel="00000000" w:rsidP="00000000" w:rsidRDefault="00000000" w:rsidRPr="00000000" w14:paraId="0000006F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2"/>
        <w:rPr/>
      </w:pPr>
      <w:r w:rsidDel="00000000" w:rsidR="00000000" w:rsidRPr="00000000">
        <w:rPr>
          <w:rtl w:val="0"/>
        </w:rPr>
        <w:t xml:space="preserve">6. Hva skal til for at vi lykkes?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Her kan dere sette inn tiltak som er avtalt, </w:t>
      </w:r>
      <w:r w:rsidDel="00000000" w:rsidR="00000000" w:rsidRPr="00000000">
        <w:rPr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med ansvarlig og frist. Bruk gjerne resultater fra VERT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7920.0" w:type="dxa"/>
        <w:jc w:val="left"/>
        <w:tblInd w:w="-108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20"/>
      </w:tblPr>
      <w:tblGrid>
        <w:gridCol w:w="2640"/>
        <w:gridCol w:w="2640"/>
        <w:gridCol w:w="2640"/>
        <w:tblGridChange w:id="0">
          <w:tblGrid>
            <w:gridCol w:w="2640"/>
            <w:gridCol w:w="2640"/>
            <w:gridCol w:w="2640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Tiltak</w:t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Ansvarlig</w:t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Frist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66666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666666"/>
                <w:rtl w:val="0"/>
              </w:rPr>
              <w:t xml:space="preserve">Eks. gi mer informasjon til de ansatte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pStyle w:val="Heading2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>
        <w:spacing w:after="2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18675f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18675f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18675f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4f81bd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4f81bd"/>
      <w:sz w:val="24"/>
      <w:szCs w:val="24"/>
    </w:rPr>
  </w:style>
  <w:style w:type="paragraph" w:styleId="Title">
    <w:name w:val="Title"/>
    <w:basedOn w:val="Normal"/>
    <w:next w:val="Normal"/>
    <w:pPr>
      <w:keepNext w:val="1"/>
      <w:keepLines w:val="1"/>
      <w:spacing w:after="240" w:before="480" w:lineRule="auto"/>
      <w:jc w:val="center"/>
    </w:pPr>
    <w:rPr>
      <w:rFonts w:ascii="Calibri" w:cs="Calibri" w:eastAsia="Calibri" w:hAnsi="Calibri"/>
      <w:b w:val="1"/>
      <w:bCs w:val="1"/>
      <w:color w:val="18675f"/>
      <w:sz w:val="36"/>
      <w:szCs w:val="36"/>
    </w:rPr>
  </w:style>
  <w:style w:type="paragraph" w:styleId="BodyText">
    <w:name w:val="Body Text"/>
    <w:basedOn w:val="Normal"/>
    <w:link w:val="BodyTextChar"/>
    <w:qFormat w:val="1"/>
    <w:pPr>
      <w:spacing w:after="180" w:before="180"/>
    </w:pPr>
  </w:style>
  <w:style w:type="paragraph" w:styleId="FirstParagraph" w:customStyle="1">
    <w:name w:val="First Paragraph"/>
    <w:basedOn w:val="BodyText"/>
    <w:next w:val="BodyText"/>
    <w:qFormat w:val="1"/>
  </w:style>
  <w:style w:type="paragraph" w:styleId="Compact" w:customStyle="1">
    <w:name w:val="Compact"/>
    <w:basedOn w:val="BodyText"/>
    <w:qFormat w:val="1"/>
    <w:pPr>
      <w:spacing w:after="36" w:before="36"/>
    </w:pPr>
  </w:style>
  <w:style w:type="paragraph" w:styleId="Author" w:customStyle="1">
    <w:name w:val="Author"/>
    <w:next w:val="BodyText"/>
    <w:qFormat w:val="1"/>
    <w:pPr>
      <w:keepNext w:val="1"/>
      <w:keepLines w:val="1"/>
      <w:jc w:val="center"/>
    </w:pPr>
  </w:style>
  <w:style w:type="paragraph" w:styleId="Date">
    <w:name w:val="Date"/>
    <w:next w:val="BodyText"/>
    <w:qFormat w:val="1"/>
    <w:pPr>
      <w:keepNext w:val="1"/>
      <w:keepLines w:val="1"/>
      <w:jc w:val="center"/>
    </w:pPr>
  </w:style>
  <w:style w:type="paragraph" w:styleId="AbstractTitle" w:customStyle="1">
    <w:name w:val="Abstract Title"/>
    <w:basedOn w:val="Normal"/>
    <w:next w:val="Abstract"/>
    <w:qFormat w:val="1"/>
    <w:pPr>
      <w:keepNext w:val="1"/>
      <w:keepLines w:val="1"/>
      <w:spacing w:after="0" w:before="300"/>
      <w:jc w:val="center"/>
    </w:pPr>
    <w:rPr>
      <w:b w:val="1"/>
      <w:color w:val="345a8a"/>
      <w:sz w:val="20"/>
      <w:szCs w:val="20"/>
    </w:rPr>
  </w:style>
  <w:style w:type="paragraph" w:styleId="Abstract" w:customStyle="1">
    <w:name w:val="Abstract"/>
    <w:basedOn w:val="Normal"/>
    <w:next w:val="BodyText"/>
    <w:qFormat w:val="1"/>
    <w:pPr>
      <w:keepNext w:val="1"/>
      <w:keepLines w:val="1"/>
      <w:spacing w:after="300" w:before="1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 w:val="1"/>
    <w:pPr/>
    <w:rPr/>
  </w:style>
  <w:style w:type="paragraph" w:styleId="Heading7">
    <w:name w:val="Heading 7"/>
    <w:basedOn w:val="Normal"/>
    <w:next w:val="BodyText"/>
    <w:uiPriority w:val="9"/>
    <w:unhideWhenUsed w:val="1"/>
    <w:qFormat w:val="1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 w:val="1"/>
    <w:qFormat w:val="1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 w:val="1"/>
    <w:qFormat w:val="1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 w:val="1"/>
    <w:qFormat w:val="1"/>
    <w:pPr>
      <w:spacing w:after="100" w:before="100"/>
      <w:ind w:left="480" w:right="480" w:firstLine="0"/>
    </w:pPr>
  </w:style>
  <w:style w:type="paragraph" w:styleId="FootnoteText">
    <w:name w:val="Footnote Text"/>
    <w:basedOn w:val="Normal"/>
    <w:next w:val="FootnoteText"/>
    <w:uiPriority w:val="9"/>
    <w:unhideWhenUsed w:val="1"/>
    <w:qFormat w:val="1"/>
  </w:style>
  <w:style w:type="character" w:styleId="DefaultParagraphFont" w:default="1">
    <w:name w:val="Default Paragraph Font"/>
    <w:semiHidden w:val="1"/>
    <w:unhideWhenUsed w:val="1"/>
  </w:style>
  <w:style w:type="table" w:styleId="Table" w:default="1">
    <w:name w:val="Table"/>
    <w:basedOn w:val="TableNormal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firstRow">
      <w:tblPr>
        <w:jc w:val="left"/>
        <w:tblInd w:w="0.0" w:type="dxa"/>
      </w:tblPr>
      <w:trPr>
        <w:jc w:val="left"/>
      </w:trPr>
      <w:tcPr>
        <w:tcBorders>
          <w:bottom w:space="0" w:sz="0" w:val="single"/>
        </w:tcBorders>
        <w:vAlign w:val="bottom"/>
      </w:tcPr>
    </w:tblStylePr>
  </w:style>
  <w:style w:type="paragraph" w:styleId="DefinitionTerm" w:customStyle="1">
    <w:name w:val="Definition Term"/>
    <w:basedOn w:val="Normal"/>
    <w:next w:val="Definition"/>
    <w:pPr>
      <w:keepNext w:val="1"/>
      <w:keepLines w:val="1"/>
      <w:spacing w:after="0"/>
    </w:pPr>
    <w:rPr>
      <w:b w:val="1"/>
    </w:rPr>
  </w:style>
  <w:style w:type="paragraph" w:styleId="Definition" w:customStyle="1">
    <w:name w:val="Definition"/>
    <w:basedOn w:val="Normal"/>
  </w:style>
  <w:style w:type="paragraph" w:styleId="Caption">
    <w:name w:val="Caption"/>
    <w:basedOn w:val="Normal"/>
    <w:link w:val="BodyTextChar"/>
    <w:pPr>
      <w:spacing w:after="120" w:before="0"/>
    </w:pPr>
    <w:rPr>
      <w:i w:val="1"/>
    </w:rPr>
  </w:style>
  <w:style w:type="paragraph" w:styleId="TableCaption" w:customStyle="1">
    <w:name w:val="Table Caption"/>
    <w:basedOn w:val="Caption"/>
    <w:pPr>
      <w:keepNext w:val="1"/>
    </w:pPr>
  </w:style>
  <w:style w:type="paragraph" w:styleId="ImageCaption" w:customStyle="1">
    <w:name w:val="Image Caption"/>
    <w:basedOn w:val="Caption"/>
  </w:style>
  <w:style w:type="paragraph" w:styleId="Figure" w:customStyle="1">
    <w:name w:val="Figure"/>
    <w:basedOn w:val="Normal"/>
  </w:style>
  <w:style w:type="paragraph" w:styleId="CaptionedFigure" w:customStyle="1">
    <w:name w:val="Captioned Figure"/>
    <w:basedOn w:val="Figure"/>
    <w:pPr>
      <w:keepNext w:val="1"/>
    </w:pPr>
  </w:style>
  <w:style w:type="character" w:styleId="BodyTextChar" w:customStyle="1">
    <w:name w:val="Body Text Char"/>
    <w:basedOn w:val="DefaultParagraphFont"/>
    <w:link w:val="BodyText"/>
  </w:style>
  <w:style w:type="character" w:styleId="VerbatimChar" w:customStyle="1">
    <w:name w:val="Verbatim Char"/>
    <w:basedOn w:val="BodyTextChar"/>
    <w:rPr>
      <w:rFonts w:ascii="Consolas" w:hAnsi="Consolas"/>
      <w:sz w:val="22"/>
    </w:rPr>
  </w:style>
  <w:style w:type="character" w:styleId="SectionNumber" w:customStyle="1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 w:val="1"/>
    <w:qFormat w:val="1"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val="365f91" w:themeColor="accent1" w:themeShade="0000BF"/>
    </w:rPr>
  </w:style>
  <w:style w:type="paragraph" w:styleId="SourceCode" w:customStyle="1">
    <w:name w:val="Source Code"/>
    <w:basedOn w:val="Normal"/>
    <w:link w:val="VerbatimChar"/>
    <w:pPr>
      <w:wordWrap w:val="0"/>
    </w:pPr>
  </w:style>
  <w:style w:type="character" w:styleId="KeywordTok" w:customStyle="1">
    <w:name w:val="KeywordTok"/>
    <w:basedOn w:val="VerbatimChar"/>
    <w:rPr>
      <w:b w:val="1"/>
      <w:color w:val="007020"/>
    </w:rPr>
  </w:style>
  <w:style w:type="character" w:styleId="DataTypeTok" w:customStyle="1">
    <w:name w:val="DataTypeTok"/>
    <w:basedOn w:val="VerbatimChar"/>
    <w:rPr>
      <w:color w:val="902000"/>
    </w:rPr>
  </w:style>
  <w:style w:type="character" w:styleId="DecValTok" w:customStyle="1">
    <w:name w:val="DecValTok"/>
    <w:basedOn w:val="VerbatimChar"/>
    <w:rPr>
      <w:color w:val="40a070"/>
    </w:rPr>
  </w:style>
  <w:style w:type="character" w:styleId="BaseNTok" w:customStyle="1">
    <w:name w:val="BaseNTok"/>
    <w:basedOn w:val="VerbatimChar"/>
    <w:rPr>
      <w:color w:val="40a070"/>
    </w:rPr>
  </w:style>
  <w:style w:type="character" w:styleId="FloatTok" w:customStyle="1">
    <w:name w:val="FloatTok"/>
    <w:basedOn w:val="VerbatimChar"/>
    <w:rPr>
      <w:color w:val="40a070"/>
    </w:rPr>
  </w:style>
  <w:style w:type="character" w:styleId="ConstantTok" w:customStyle="1">
    <w:name w:val="ConstantTok"/>
    <w:basedOn w:val="VerbatimChar"/>
    <w:rPr>
      <w:color w:val="880000"/>
    </w:rPr>
  </w:style>
  <w:style w:type="character" w:styleId="CharTok" w:customStyle="1">
    <w:name w:val="CharTok"/>
    <w:basedOn w:val="VerbatimChar"/>
    <w:rPr>
      <w:color w:val="4070a0"/>
    </w:rPr>
  </w:style>
  <w:style w:type="character" w:styleId="SpecialCharTok" w:customStyle="1">
    <w:name w:val="SpecialCharTok"/>
    <w:basedOn w:val="VerbatimChar"/>
    <w:rPr>
      <w:color w:val="4070a0"/>
    </w:rPr>
  </w:style>
  <w:style w:type="character" w:styleId="StringTok" w:customStyle="1">
    <w:name w:val="StringTok"/>
    <w:basedOn w:val="VerbatimChar"/>
    <w:rPr>
      <w:color w:val="4070a0"/>
    </w:rPr>
  </w:style>
  <w:style w:type="character" w:styleId="VerbatimStringTok" w:customStyle="1">
    <w:name w:val="VerbatimStringTok"/>
    <w:basedOn w:val="VerbatimChar"/>
    <w:rPr>
      <w:color w:val="4070a0"/>
    </w:rPr>
  </w:style>
  <w:style w:type="character" w:styleId="SpecialStringTok" w:customStyle="1">
    <w:name w:val="SpecialStringTok"/>
    <w:basedOn w:val="VerbatimChar"/>
    <w:rPr>
      <w:color w:val="bb6688"/>
    </w:rPr>
  </w:style>
  <w:style w:type="character" w:styleId="ImportTok" w:customStyle="1">
    <w:name w:val="ImportTok"/>
    <w:basedOn w:val="VerbatimChar"/>
    <w:rPr>
      <w:b w:val="1"/>
      <w:color w:val="008000"/>
    </w:rPr>
  </w:style>
  <w:style w:type="character" w:styleId="CommentTok" w:customStyle="1">
    <w:name w:val="CommentTok"/>
    <w:basedOn w:val="VerbatimChar"/>
    <w:rPr>
      <w:i w:val="1"/>
      <w:color w:val="60a0b0"/>
    </w:rPr>
  </w:style>
  <w:style w:type="character" w:styleId="DocumentationTok" w:customStyle="1">
    <w:name w:val="DocumentationTok"/>
    <w:basedOn w:val="VerbatimChar"/>
    <w:rPr>
      <w:i w:val="1"/>
      <w:color w:val="ba2121"/>
    </w:rPr>
  </w:style>
  <w:style w:type="character" w:styleId="AnnotationTok" w:customStyle="1">
    <w:name w:val="AnnotationTok"/>
    <w:basedOn w:val="VerbatimChar"/>
    <w:rPr>
      <w:b w:val="1"/>
      <w:i w:val="1"/>
      <w:color w:val="60a0b0"/>
    </w:rPr>
  </w:style>
  <w:style w:type="character" w:styleId="CommentVarTok" w:customStyle="1">
    <w:name w:val="CommentVarTok"/>
    <w:basedOn w:val="VerbatimChar"/>
    <w:rPr>
      <w:b w:val="1"/>
      <w:i w:val="1"/>
      <w:color w:val="60a0b0"/>
    </w:rPr>
  </w:style>
  <w:style w:type="character" w:styleId="OtherTok" w:customStyle="1">
    <w:name w:val="OtherTok"/>
    <w:basedOn w:val="VerbatimChar"/>
    <w:rPr>
      <w:color w:val="007020"/>
    </w:rPr>
  </w:style>
  <w:style w:type="character" w:styleId="FunctionTok" w:customStyle="1">
    <w:name w:val="FunctionTok"/>
    <w:basedOn w:val="VerbatimChar"/>
    <w:rPr>
      <w:color w:val="06287e"/>
    </w:rPr>
  </w:style>
  <w:style w:type="character" w:styleId="VariableTok" w:customStyle="1">
    <w:name w:val="VariableTok"/>
    <w:basedOn w:val="VerbatimChar"/>
    <w:rPr>
      <w:color w:val="19177c"/>
    </w:rPr>
  </w:style>
  <w:style w:type="character" w:styleId="ControlFlowTok" w:customStyle="1">
    <w:name w:val="ControlFlowTok"/>
    <w:basedOn w:val="VerbatimChar"/>
    <w:rPr>
      <w:b w:val="1"/>
      <w:color w:val="007020"/>
    </w:rPr>
  </w:style>
  <w:style w:type="character" w:styleId="OperatorTok" w:customStyle="1">
    <w:name w:val="OperatorTok"/>
    <w:basedOn w:val="VerbatimChar"/>
    <w:rPr>
      <w:color w:val="666666"/>
    </w:rPr>
  </w:style>
  <w:style w:type="character" w:styleId="BuiltInTok" w:customStyle="1">
    <w:name w:val="BuiltInTok"/>
    <w:basedOn w:val="VerbatimChar"/>
    <w:rPr>
      <w:color w:val="008000"/>
    </w:rPr>
  </w:style>
  <w:style w:type="character" w:styleId="ExtensionTok" w:customStyle="1">
    <w:name w:val="ExtensionTok"/>
    <w:basedOn w:val="VerbatimChar"/>
    <w:rPr/>
  </w:style>
  <w:style w:type="character" w:styleId="PreprocessorTok" w:customStyle="1">
    <w:name w:val="PreprocessorTok"/>
    <w:basedOn w:val="VerbatimChar"/>
    <w:rPr>
      <w:color w:val="bc7a00"/>
    </w:rPr>
  </w:style>
  <w:style w:type="character" w:styleId="AttributeTok" w:customStyle="1">
    <w:name w:val="AttributeTok"/>
    <w:basedOn w:val="VerbatimChar"/>
    <w:rPr>
      <w:color w:val="7d9029"/>
    </w:rPr>
  </w:style>
  <w:style w:type="character" w:styleId="RegionMarkerTok" w:customStyle="1">
    <w:name w:val="RegionMarkerTok"/>
    <w:basedOn w:val="VerbatimChar"/>
    <w:rPr/>
  </w:style>
  <w:style w:type="character" w:styleId="InformationTok" w:customStyle="1">
    <w:name w:val="InformationTok"/>
    <w:basedOn w:val="VerbatimChar"/>
    <w:rPr>
      <w:b w:val="1"/>
      <w:i w:val="1"/>
      <w:color w:val="60a0b0"/>
    </w:rPr>
  </w:style>
  <w:style w:type="character" w:styleId="WarningTok" w:customStyle="1">
    <w:name w:val="WarningTok"/>
    <w:basedOn w:val="VerbatimChar"/>
    <w:rPr>
      <w:b w:val="1"/>
      <w:i w:val="1"/>
      <w:color w:val="60a0b0"/>
    </w:rPr>
  </w:style>
  <w:style w:type="character" w:styleId="AlertTok" w:customStyle="1">
    <w:name w:val="AlertTok"/>
    <w:basedOn w:val="VerbatimChar"/>
    <w:rPr>
      <w:b w:val="1"/>
      <w:color w:val="ff0000"/>
    </w:rPr>
  </w:style>
  <w:style w:type="character" w:styleId="ErrorTok" w:customStyle="1">
    <w:name w:val="ErrorTok"/>
    <w:basedOn w:val="VerbatimChar"/>
    <w:rPr>
      <w:b w:val="1"/>
      <w:color w:val="ff0000"/>
    </w:rPr>
  </w:style>
  <w:style w:type="character" w:styleId="NormalTok" w:customStyle="1">
    <w:name w:val="NormalTok"/>
    <w:basedOn w:val="VerbatimChar"/>
    <w:rPr/>
  </w:style>
  <w:style w:type="paragraph" w:styleId="Subtitle">
    <w:name w:val="Subtitle"/>
    <w:basedOn w:val="Normal"/>
    <w:next w:val="Normal"/>
    <w:pPr>
      <w:keepNext w:val="1"/>
      <w:keepLines w:val="1"/>
      <w:spacing w:after="240" w:before="240" w:lineRule="auto"/>
      <w:jc w:val="center"/>
    </w:pPr>
    <w:rPr>
      <w:rFonts w:ascii="Calibri" w:cs="Calibri" w:eastAsia="Calibri" w:hAnsi="Calibri"/>
      <w:b w:val="1"/>
      <w:bCs w:val="1"/>
      <w:color w:val="18675f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>
        <w:vAlign w:val="bottom"/>
      </w:tcPr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>
        <w:vAlign w:val="bottom"/>
      </w:tcPr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>
        <w:vAlign w:val="bottom"/>
      </w:tcPr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>
        <w:vAlign w:val="bottom"/>
      </w:tcPr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>
        <w:vAlign w:val="bottom"/>
      </w:tcPr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>
        <w:vAlign w:val="bottom"/>
      </w:tcPr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>
        <w:vAlign w:val="bottom"/>
      </w:tcPr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image" Target="media/image1.pn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y5SdcFi7H24g5gY4JMZJHNrMAg==">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2026-08-06T12:43:41Z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